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EE071">
      <w:pPr>
        <w:spacing w:line="220" w:lineRule="atLeast"/>
        <w:rPr>
          <w:rFonts w:hint="eastAsia" w:ascii="宋体" w:hAnsi="宋体" w:eastAsia="宋体" w:cs="宋体"/>
          <w:b/>
          <w:bCs/>
          <w:sz w:val="32"/>
        </w:rPr>
      </w:pPr>
      <w:r>
        <w:rPr>
          <w:rFonts w:hint="eastAsia" w:ascii="宋体" w:hAnsi="宋体" w:eastAsia="宋体" w:cs="宋体"/>
          <w:b/>
          <w:bCs/>
          <w:sz w:val="32"/>
        </w:rPr>
        <w:t>附表：</w:t>
      </w:r>
    </w:p>
    <w:p w14:paraId="4265FA30">
      <w:pPr>
        <w:spacing w:line="440" w:lineRule="exact"/>
        <w:jc w:val="center"/>
        <w:rPr>
          <w:rFonts w:hint="eastAsia" w:ascii="宋体" w:hAnsi="宋体"/>
          <w:b/>
          <w:color w:val="000000"/>
          <w:szCs w:val="21"/>
        </w:rPr>
      </w:pPr>
      <w:r>
        <w:rPr>
          <w:rFonts w:hint="eastAsia" w:ascii="宋体" w:hAnsi="宋体"/>
          <w:b/>
          <w:color w:val="000000"/>
          <w:szCs w:val="21"/>
        </w:rPr>
        <w:t>货物需求一览表</w:t>
      </w:r>
    </w:p>
    <w:p w14:paraId="1817C749">
      <w:pPr>
        <w:spacing w:line="440" w:lineRule="exact"/>
        <w:rPr>
          <w:rFonts w:hint="eastAsia" w:ascii="宋体" w:hAnsi="宋体"/>
          <w:szCs w:val="21"/>
        </w:rPr>
      </w:pPr>
      <w:r>
        <w:rPr>
          <w:rFonts w:hint="eastAsia" w:ascii="宋体" w:hAnsi="宋体"/>
          <w:b/>
          <w:szCs w:val="21"/>
        </w:rPr>
        <w:t>说明：</w:t>
      </w:r>
    </w:p>
    <w:p w14:paraId="0F517EA8">
      <w:pPr>
        <w:spacing w:line="440" w:lineRule="exact"/>
        <w:ind w:firstLine="539" w:firstLineChars="245"/>
        <w:rPr>
          <w:rFonts w:hint="eastAsia" w:ascii="宋体" w:hAnsi="宋体"/>
          <w:b/>
          <w:szCs w:val="21"/>
        </w:rPr>
      </w:pPr>
      <w:r>
        <w:rPr>
          <w:rFonts w:hint="eastAsia" w:ascii="宋体" w:hAnsi="宋体"/>
          <w:b/>
          <w:szCs w:val="21"/>
        </w:rPr>
        <w:t>1、本一览表中的品牌型号、技术参数及其性能（配置）仅起参考作用，投标人可选用其他品牌型号替代，但这些替代的品牌型号要实质上相当于或优于参考品牌型号及其技术参数性能（配置）要求。</w:t>
      </w:r>
    </w:p>
    <w:p w14:paraId="017B1378">
      <w:pPr>
        <w:spacing w:line="440" w:lineRule="exact"/>
        <w:ind w:firstLine="480"/>
        <w:rPr>
          <w:rFonts w:hint="eastAsia" w:ascii="宋体" w:hAnsi="宋体"/>
          <w:b/>
          <w:szCs w:val="21"/>
        </w:rPr>
      </w:pPr>
      <w:r>
        <w:rPr>
          <w:rFonts w:hint="eastAsia" w:ascii="宋体" w:hAnsi="宋体"/>
          <w:b/>
          <w:szCs w:val="21"/>
        </w:rPr>
        <w:t>2、本一览表中参考品牌型号及技术参数及配置不明确或有误的，或投标人选有其他品牌型号替代的，请以详细正确的品牌型号、技术参数及配置同时填写投标报价表和技术规格响应表。</w:t>
      </w:r>
    </w:p>
    <w:tbl>
      <w:tblPr>
        <w:tblStyle w:val="2"/>
        <w:tblW w:w="10612"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4"/>
        <w:gridCol w:w="1125"/>
        <w:gridCol w:w="390"/>
        <w:gridCol w:w="8623"/>
      </w:tblGrid>
      <w:tr w14:paraId="4884A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blHeader/>
        </w:trPr>
        <w:tc>
          <w:tcPr>
            <w:tcW w:w="474" w:type="dxa"/>
            <w:vAlign w:val="center"/>
          </w:tcPr>
          <w:p w14:paraId="338081BF">
            <w:pPr>
              <w:adjustRightInd/>
              <w:snapToGrid/>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项号</w:t>
            </w:r>
          </w:p>
        </w:tc>
        <w:tc>
          <w:tcPr>
            <w:tcW w:w="1125" w:type="dxa"/>
            <w:vAlign w:val="center"/>
          </w:tcPr>
          <w:p w14:paraId="0060318F">
            <w:pPr>
              <w:adjustRightInd/>
              <w:snapToGrid/>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货物名称</w:t>
            </w:r>
          </w:p>
        </w:tc>
        <w:tc>
          <w:tcPr>
            <w:tcW w:w="390" w:type="dxa"/>
            <w:vAlign w:val="center"/>
          </w:tcPr>
          <w:p w14:paraId="4802A224">
            <w:pPr>
              <w:adjustRightInd/>
              <w:snapToGrid/>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数量</w:t>
            </w:r>
          </w:p>
        </w:tc>
        <w:tc>
          <w:tcPr>
            <w:tcW w:w="8623" w:type="dxa"/>
            <w:vAlign w:val="center"/>
          </w:tcPr>
          <w:p w14:paraId="7D0E5980">
            <w:pPr>
              <w:adjustRightInd/>
              <w:snapToGrid/>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技术参数及性能（配置）要求</w:t>
            </w:r>
          </w:p>
        </w:tc>
      </w:tr>
      <w:tr w14:paraId="32622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474" w:type="dxa"/>
            <w:vAlign w:val="center"/>
          </w:tcPr>
          <w:p w14:paraId="6C3B4B80">
            <w:pPr>
              <w:adjustRightInd/>
              <w:snapToGrid/>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1</w:t>
            </w:r>
          </w:p>
        </w:tc>
        <w:tc>
          <w:tcPr>
            <w:tcW w:w="1125" w:type="dxa"/>
            <w:vAlign w:val="center"/>
          </w:tcPr>
          <w:p w14:paraId="72C6CC4F">
            <w:pPr>
              <w:adjustRightInd/>
              <w:snapToGrid/>
              <w:spacing w:line="360" w:lineRule="auto"/>
              <w:jc w:val="center"/>
              <w:rPr>
                <w:rFonts w:hint="eastAsia" w:ascii="宋体" w:hAnsi="宋体" w:eastAsia="宋体" w:cs="宋体"/>
                <w:b/>
                <w:color w:val="000000"/>
                <w:sz w:val="21"/>
                <w:szCs w:val="21"/>
              </w:rPr>
            </w:pPr>
          </w:p>
          <w:p w14:paraId="25EF526D">
            <w:pPr>
              <w:adjustRightInd/>
              <w:snapToGrid/>
              <w:spacing w:line="360" w:lineRule="auto"/>
              <w:jc w:val="center"/>
              <w:rPr>
                <w:rFonts w:hint="eastAsia" w:ascii="宋体" w:hAnsi="宋体" w:eastAsia="宋体" w:cs="宋体"/>
                <w:b/>
                <w:color w:val="000000"/>
                <w:sz w:val="21"/>
                <w:szCs w:val="21"/>
              </w:rPr>
            </w:pPr>
            <w:r>
              <w:rPr>
                <w:rStyle w:val="4"/>
                <w:rFonts w:hint="eastAsia" w:ascii="Segoe UI" w:hAnsi="Segoe UI" w:eastAsia="Segoe UI" w:cs="Segoe UI"/>
                <w:b/>
                <w:i w:val="0"/>
                <w:caps w:val="0"/>
                <w:color w:val="000000"/>
                <w:spacing w:val="0"/>
                <w:sz w:val="24"/>
                <w:szCs w:val="24"/>
                <w:shd w:val="clear" w:fill="FFFFFF"/>
              </w:rPr>
              <w:t>新生儿黄疸治疗仪</w:t>
            </w:r>
          </w:p>
        </w:tc>
        <w:tc>
          <w:tcPr>
            <w:tcW w:w="390" w:type="dxa"/>
            <w:vAlign w:val="center"/>
          </w:tcPr>
          <w:p w14:paraId="60A871BC">
            <w:pPr>
              <w:adjustRightInd/>
              <w:snapToGrid/>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套</w:t>
            </w:r>
          </w:p>
        </w:tc>
        <w:tc>
          <w:tcPr>
            <w:tcW w:w="8623" w:type="dxa"/>
          </w:tcPr>
          <w:p w14:paraId="4BDF055D">
            <w:pPr>
              <w:adjustRightInd/>
              <w:snapToGrid/>
              <w:spacing w:line="360" w:lineRule="auto"/>
              <w:rPr>
                <w:rFonts w:hint="eastAsia"/>
              </w:rPr>
            </w:pPr>
            <w:r>
              <w:rPr>
                <w:rFonts w:hint="eastAsia"/>
              </w:rPr>
              <w:t>技术参数及性能（配置）要求</w:t>
            </w:r>
          </w:p>
          <w:p w14:paraId="4CE0D959">
            <w:pPr>
              <w:rPr>
                <w:rFonts w:hint="eastAsia"/>
              </w:rPr>
            </w:pPr>
            <w:r>
              <w:rPr>
                <w:rFonts w:hint="eastAsia"/>
              </w:rPr>
              <w:t>1.输入功率：75VA</w:t>
            </w:r>
          </w:p>
          <w:p w14:paraId="5B1CC6F0">
            <w:pPr>
              <w:rPr>
                <w:rFonts w:hint="eastAsia"/>
              </w:rPr>
            </w:pPr>
            <w:r>
              <w:rPr>
                <w:rFonts w:hint="eastAsia"/>
              </w:rPr>
              <w:t xml:space="preserve">2.光照有效面积：40cm×30cm </w:t>
            </w:r>
          </w:p>
          <w:p w14:paraId="3C0B3B54">
            <w:pPr>
              <w:rPr>
                <w:rFonts w:hint="eastAsia"/>
              </w:rPr>
            </w:pPr>
            <w:r>
              <w:rPr>
                <w:rFonts w:hint="eastAsia"/>
              </w:rPr>
              <w:t>3.★有效表面内的胆红素总辐照度最大值: 5.0mW/cm²</w:t>
            </w:r>
          </w:p>
          <w:p w14:paraId="1010ECB7">
            <w:pPr>
              <w:rPr>
                <w:rFonts w:hint="eastAsia"/>
              </w:rPr>
            </w:pPr>
            <w:r>
              <w:rPr>
                <w:rFonts w:hint="eastAsia"/>
              </w:rPr>
              <w:t>4.有效表面内的总辐照度:≥4.5mW/cm²</w:t>
            </w:r>
          </w:p>
          <w:p w14:paraId="4CF33470">
            <w:pPr>
              <w:rPr>
                <w:rFonts w:hint="eastAsia"/>
              </w:rPr>
            </w:pPr>
            <w:r>
              <w:rPr>
                <w:rFonts w:hint="eastAsia"/>
              </w:rPr>
              <w:t>5.胆红素总辐照度平均值: ≥3.0mW/cm²</w:t>
            </w:r>
          </w:p>
          <w:p w14:paraId="1079D620">
            <w:pPr>
              <w:rPr>
                <w:rFonts w:hint="eastAsia"/>
              </w:rPr>
            </w:pPr>
            <w:r>
              <w:rPr>
                <w:rFonts w:hint="eastAsia"/>
              </w:rPr>
              <w:t>6.有效表面内的胆红素总辐照度均匀性：＞0.4</w:t>
            </w:r>
          </w:p>
          <w:p w14:paraId="72183786">
            <w:pPr>
              <w:rPr>
                <w:rFonts w:hint="eastAsia"/>
              </w:rPr>
            </w:pPr>
            <w:r>
              <w:rPr>
                <w:rFonts w:hint="eastAsia"/>
              </w:rPr>
              <w:t>7.工作噪声：≤50dB(A)</w:t>
            </w:r>
          </w:p>
          <w:p w14:paraId="08CE48F5">
            <w:pPr>
              <w:rPr>
                <w:rFonts w:hint="eastAsia"/>
              </w:rPr>
            </w:pPr>
            <w:r>
              <w:rPr>
                <w:rFonts w:hint="eastAsia"/>
              </w:rPr>
              <w:t>8.辐照灯箱具有平移功能，辐照角度0～60°倾斜可调</w:t>
            </w:r>
          </w:p>
          <w:p w14:paraId="638F12F0">
            <w:pPr>
              <w:rPr>
                <w:rFonts w:hint="eastAsia"/>
              </w:rPr>
            </w:pPr>
            <w:r>
              <w:rPr>
                <w:rFonts w:hint="eastAsia"/>
              </w:rPr>
              <w:t>9.★光源为LED,使用期限≥50000小时</w:t>
            </w:r>
          </w:p>
          <w:p w14:paraId="4043469C">
            <w:pPr>
              <w:rPr>
                <w:rFonts w:hint="eastAsia"/>
              </w:rPr>
            </w:pPr>
            <w:r>
              <w:rPr>
                <w:rFonts w:hint="eastAsia"/>
              </w:rPr>
              <w:t>10.工作总计时显示范围：0～99999.9小时</w:t>
            </w:r>
          </w:p>
          <w:p w14:paraId="4DA3BEA4">
            <w:pPr>
              <w:rPr>
                <w:rFonts w:hint="eastAsia"/>
              </w:rPr>
            </w:pPr>
            <w:r>
              <w:rPr>
                <w:rFonts w:hint="eastAsia"/>
              </w:rPr>
              <w:t>11.★蓝光输出强度调节范围：0～100%</w:t>
            </w:r>
          </w:p>
          <w:p w14:paraId="0F984E93">
            <w:pPr>
              <w:rPr>
                <w:rFonts w:hint="eastAsia"/>
              </w:rPr>
            </w:pPr>
            <w:r>
              <w:rPr>
                <w:rFonts w:hint="eastAsia"/>
              </w:rPr>
              <w:t>12.★4.3英寸彩色液晶触摸屏，分辨率：480*272</w:t>
            </w:r>
          </w:p>
          <w:p w14:paraId="2689E7F8">
            <w:pPr>
              <w:rPr>
                <w:rFonts w:hint="eastAsia"/>
              </w:rPr>
            </w:pPr>
          </w:p>
          <w:p w14:paraId="051849B5">
            <w:pPr>
              <w:rPr>
                <w:rFonts w:hint="eastAsia"/>
              </w:rPr>
            </w:pPr>
          </w:p>
          <w:p w14:paraId="0F38DBD9">
            <w:pPr>
              <w:rPr>
                <w:rFonts w:hint="eastAsia"/>
              </w:rPr>
            </w:pPr>
          </w:p>
          <w:p w14:paraId="75EA0367">
            <w:pPr>
              <w:rPr>
                <w:rFonts w:hint="eastAsia"/>
              </w:rPr>
            </w:pPr>
          </w:p>
          <w:p w14:paraId="58014797">
            <w:pPr>
              <w:rPr>
                <w:rFonts w:hint="eastAsia"/>
                <w:lang w:eastAsia="zh-CN"/>
              </w:rPr>
            </w:pPr>
          </w:p>
        </w:tc>
      </w:tr>
      <w:tr w14:paraId="4D3A2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474" w:type="dxa"/>
            <w:vAlign w:val="center"/>
          </w:tcPr>
          <w:p w14:paraId="30FDC35A">
            <w:pPr>
              <w:adjustRightInd/>
              <w:snapToGrid/>
              <w:spacing w:line="360" w:lineRule="auto"/>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2</w:t>
            </w:r>
          </w:p>
        </w:tc>
        <w:tc>
          <w:tcPr>
            <w:tcW w:w="1125" w:type="dxa"/>
            <w:vAlign w:val="center"/>
          </w:tcPr>
          <w:p w14:paraId="51F1D97B">
            <w:pPr>
              <w:adjustRightInd/>
              <w:snapToGrid/>
              <w:spacing w:line="360" w:lineRule="auto"/>
              <w:jc w:val="center"/>
              <w:rPr>
                <w:rStyle w:val="4"/>
                <w:rFonts w:ascii="Segoe UI" w:hAnsi="Segoe UI" w:eastAsia="Segoe UI" w:cs="Segoe UI"/>
                <w:b/>
                <w:i w:val="0"/>
                <w:caps w:val="0"/>
                <w:color w:val="000000"/>
                <w:spacing w:val="0"/>
                <w:sz w:val="24"/>
                <w:szCs w:val="24"/>
                <w:shd w:val="clear" w:fill="FFFFFF"/>
              </w:rPr>
            </w:pPr>
            <w:r>
              <w:rPr>
                <w:rStyle w:val="4"/>
                <w:rFonts w:hint="eastAsia" w:ascii="Segoe UI" w:hAnsi="Segoe UI" w:eastAsia="Segoe UI" w:cs="Segoe UI"/>
                <w:b/>
                <w:i w:val="0"/>
                <w:caps w:val="0"/>
                <w:color w:val="000000"/>
                <w:spacing w:val="0"/>
                <w:sz w:val="24"/>
                <w:szCs w:val="24"/>
                <w:shd w:val="clear" w:fill="FFFFFF"/>
              </w:rPr>
              <w:t>新生儿黄疸治疗箱</w:t>
            </w:r>
          </w:p>
        </w:tc>
        <w:tc>
          <w:tcPr>
            <w:tcW w:w="390" w:type="dxa"/>
            <w:vAlign w:val="center"/>
          </w:tcPr>
          <w:p w14:paraId="4FF55F6B">
            <w:pPr>
              <w:adjustRightInd/>
              <w:snapToGrid/>
              <w:spacing w:line="360" w:lineRule="auto"/>
              <w:jc w:val="center"/>
              <w:rPr>
                <w:rFonts w:hint="default"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3</w:t>
            </w:r>
          </w:p>
        </w:tc>
        <w:tc>
          <w:tcPr>
            <w:tcW w:w="8623" w:type="dxa"/>
          </w:tcPr>
          <w:p w14:paraId="5DB038B6">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基本配置：上箱体【含上灯箱（光源为LED）、控制仪、婴儿床】，</w:t>
            </w:r>
          </w:p>
          <w:p w14:paraId="571083E8">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下箱体【含下灯箱（光源为LED）、储物柜】</w:t>
            </w:r>
          </w:p>
          <w:p w14:paraId="3C0ABC3F">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产品主要功能、技术参数及要求：</w:t>
            </w:r>
          </w:p>
          <w:p w14:paraId="79C22A3B">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1、电源要求：AC220V/50Hz；</w:t>
            </w:r>
          </w:p>
          <w:p w14:paraId="08536408">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2、输入功率：600VA；</w:t>
            </w:r>
          </w:p>
          <w:p w14:paraId="4BCABF25">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3、黄疸箱温度显示的平均值与实际黄疸箱温度平均值之差（恒温状态下）：≤±0.8℃；</w:t>
            </w:r>
          </w:p>
          <w:p w14:paraId="34AA13E6">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4、温度控制范围：25℃～34℃；</w:t>
            </w:r>
          </w:p>
          <w:p w14:paraId="2BB59F24">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5、床面温度均匀性：0.8℃内；</w:t>
            </w:r>
          </w:p>
          <w:p w14:paraId="463BC853">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6、皮肤温度显示范围：5℃～65℃；</w:t>
            </w:r>
          </w:p>
          <w:p w14:paraId="4534975F">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7、皮肤温度传感器精度：±0.2℃内；</w:t>
            </w:r>
          </w:p>
          <w:p w14:paraId="7D3E406F">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8、床面温度均匀性：≤0.8℃</w:t>
            </w:r>
          </w:p>
          <w:p w14:paraId="0835BE10">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9、故障报警：超温报警、断电报警、传感器报警、偏差报警、风机报警、系统报警；</w:t>
            </w:r>
          </w:p>
          <w:p w14:paraId="163CAC80">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10、婴儿床面上的工作噪声：≤55dB(A)，环境噪音在 45dB(A)以下；</w:t>
            </w:r>
          </w:p>
          <w:p w14:paraId="32086176">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11、报警声级：婴儿床面上≤80dB(A)，距离控制仪正前方3m 处，至少65dB(A)；</w:t>
            </w:r>
          </w:p>
          <w:p w14:paraId="240FED0E">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12、床面上有效表面内的总辐照度：≥2.0mW/cm² （上灯箱光源为LED）</w:t>
            </w:r>
          </w:p>
          <w:p w14:paraId="718F266A">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≥3.0mW/cm² （下灯箱）；</w:t>
            </w:r>
          </w:p>
          <w:p w14:paraId="395CFBD1">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13、床面上有效表面内的胆红素总辐照度平均值：≥1.5mW/cm² （上灯箱光源为LED）</w:t>
            </w:r>
          </w:p>
          <w:p w14:paraId="0EB30490">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≥2.5mW/cm² （下灯箱）；</w:t>
            </w:r>
          </w:p>
          <w:p w14:paraId="10F5F07E">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14、床面上有效表面内的最高胆红素总辐照度：2.2mW/cm² （上灯箱光源为LED）</w:t>
            </w:r>
          </w:p>
          <w:p w14:paraId="3FA3FE06">
            <w:p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3.5mW/cm²（下灯箱）；</w:t>
            </w:r>
          </w:p>
          <w:p w14:paraId="375607EE">
            <w:pPr>
              <w:numPr>
                <w:ilvl w:val="0"/>
                <w:numId w:val="1"/>
              </w:num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床面上有效表面内的胆红素总辐照度均匀性：＞0.4。</w:t>
            </w:r>
          </w:p>
          <w:p w14:paraId="08F80FFA">
            <w:pPr>
              <w:numPr>
                <w:ilvl w:val="0"/>
                <w:numId w:val="1"/>
              </w:numPr>
              <w:rPr>
                <w:rFonts w:hint="eastAsia" w:ascii="Segoe UI" w:hAnsi="Segoe UI" w:eastAsia="Segoe UI" w:cs="Segoe UI"/>
                <w:i w:val="0"/>
                <w:caps w:val="0"/>
                <w:spacing w:val="0"/>
                <w:sz w:val="24"/>
                <w:szCs w:val="24"/>
                <w:shd w:val="clear" w:fill="FFFFFF"/>
                <w:lang w:eastAsia="zh-CN"/>
              </w:rPr>
            </w:pPr>
            <w:r>
              <w:rPr>
                <w:rFonts w:hint="eastAsia" w:ascii="Segoe UI" w:hAnsi="Segoe UI" w:eastAsia="Segoe UI" w:cs="Segoe UI"/>
                <w:i w:val="0"/>
                <w:caps w:val="0"/>
                <w:spacing w:val="0"/>
                <w:sz w:val="24"/>
                <w:szCs w:val="24"/>
                <w:shd w:val="clear" w:fill="FFFFFF"/>
                <w:lang w:eastAsia="zh-CN"/>
              </w:rPr>
              <w:t>婴儿床倾斜角度不小于</w:t>
            </w:r>
            <w:r>
              <w:rPr>
                <w:rFonts w:hint="eastAsia" w:ascii="Segoe UI" w:hAnsi="Segoe UI" w:eastAsia="Segoe UI" w:cs="Segoe UI"/>
                <w:i w:val="0"/>
                <w:caps w:val="0"/>
                <w:spacing w:val="0"/>
                <w:sz w:val="24"/>
                <w:szCs w:val="24"/>
                <w:shd w:val="clear" w:fill="FFFFFF"/>
                <w:lang w:val="en-US" w:eastAsia="zh-CN"/>
              </w:rPr>
              <w:t>10° 。</w:t>
            </w:r>
          </w:p>
          <w:p w14:paraId="2DF3F292">
            <w:pPr>
              <w:numPr>
                <w:ilvl w:val="0"/>
                <w:numId w:val="0"/>
              </w:numPr>
              <w:rPr>
                <w:rFonts w:hint="eastAsia" w:ascii="Segoe UI" w:hAnsi="Segoe UI" w:eastAsia="Segoe UI" w:cs="Segoe UI"/>
                <w:i w:val="0"/>
                <w:caps w:val="0"/>
                <w:spacing w:val="0"/>
                <w:sz w:val="24"/>
                <w:szCs w:val="24"/>
                <w:shd w:val="clear" w:fill="FFFFFF"/>
                <w:lang w:eastAsia="zh-CN"/>
              </w:rPr>
            </w:pPr>
          </w:p>
        </w:tc>
      </w:tr>
      <w:tr w14:paraId="0F4A9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474" w:type="dxa"/>
            <w:vAlign w:val="center"/>
          </w:tcPr>
          <w:p w14:paraId="75991CA0">
            <w:pPr>
              <w:adjustRightInd/>
              <w:snapToGrid/>
              <w:spacing w:line="360" w:lineRule="auto"/>
              <w:jc w:val="center"/>
              <w:rPr>
                <w:rFonts w:hint="default"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3</w:t>
            </w:r>
          </w:p>
        </w:tc>
        <w:tc>
          <w:tcPr>
            <w:tcW w:w="1125" w:type="dxa"/>
            <w:vAlign w:val="center"/>
          </w:tcPr>
          <w:p w14:paraId="5FEDDBC1">
            <w:pPr>
              <w:adjustRightInd/>
              <w:snapToGrid/>
              <w:spacing w:line="360" w:lineRule="auto"/>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婴儿培养箱</w:t>
            </w:r>
          </w:p>
        </w:tc>
        <w:tc>
          <w:tcPr>
            <w:tcW w:w="390" w:type="dxa"/>
            <w:vAlign w:val="center"/>
          </w:tcPr>
          <w:p w14:paraId="19DD5EA7">
            <w:pPr>
              <w:adjustRightInd/>
              <w:snapToGrid/>
              <w:spacing w:line="360" w:lineRule="auto"/>
              <w:jc w:val="center"/>
              <w:rPr>
                <w:rFonts w:hint="default"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3</w:t>
            </w:r>
          </w:p>
        </w:tc>
        <w:tc>
          <w:tcPr>
            <w:tcW w:w="8623" w:type="dxa"/>
          </w:tcPr>
          <w:p w14:paraId="57E34E19">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基本配置：</w:t>
            </w:r>
          </w:p>
          <w:p w14:paraId="7251B6F2">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主机（含婴儿舱、机箱、控制仪、输液架及托盘），机脚，黄疸治疗装置,配置led。</w:t>
            </w:r>
          </w:p>
          <w:p w14:paraId="6B3B1CC2">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产品主要功能、技术参数及要求：</w:t>
            </w:r>
          </w:p>
          <w:p w14:paraId="3BE66190">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1、工作电源：AC220V/ 50HZ；</w:t>
            </w:r>
          </w:p>
          <w:p w14:paraId="0FE47C1A">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2、输入功率：≤850VA；</w:t>
            </w:r>
          </w:p>
          <w:p w14:paraId="33405477">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3、控温方式：箱温控制；</w:t>
            </w:r>
          </w:p>
          <w:p w14:paraId="6994CF8E">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4、控温范围：25℃～37℃；</w:t>
            </w:r>
          </w:p>
          <w:p w14:paraId="47EB4CFD">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5、箱温显示温度范围：5～63℃；</w:t>
            </w:r>
          </w:p>
          <w:p w14:paraId="6FCFE37A">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6、升温时间：≤30min；</w:t>
            </w:r>
          </w:p>
          <w:p w14:paraId="6F7D015C">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7、培养箱温度与平均培养箱温度之差：≤0.5℃；</w:t>
            </w:r>
          </w:p>
          <w:p w14:paraId="516A0977">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8、平均培养箱温度与控制温度之差：≤±1.0℃；</w:t>
            </w:r>
          </w:p>
          <w:p w14:paraId="6D5BD9B1">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9、温度均匀性（床垫处于水平位置）：≤0.8℃；</w:t>
            </w:r>
          </w:p>
          <w:p w14:paraId="24B2306B">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10、温度均匀性（床垫处于倾斜位置）：≤1.0℃；</w:t>
            </w:r>
          </w:p>
          <w:p w14:paraId="0AFD6C79">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11、设置温度与箱内温度分屏显示；</w:t>
            </w:r>
          </w:p>
          <w:p w14:paraId="25BB2C2B">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12、独立的超温保护系统；</w:t>
            </w:r>
          </w:p>
          <w:p w14:paraId="0F889AEA">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13、自然风道加湿；</w:t>
            </w:r>
          </w:p>
          <w:p w14:paraId="6C14EA3A">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14、婴儿床倾斜角度无级可调功能；</w:t>
            </w:r>
          </w:p>
          <w:p w14:paraId="619CA0D4">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★15、产品具有自检功能，多种故障报警提示：断电、传感器、偏差、超温、风机、系统等；</w:t>
            </w:r>
          </w:p>
          <w:p w14:paraId="66B545D1">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16、蜗壳风道及直流离心式风机产生气压差，确保新鲜空气始终保持吸入；</w:t>
            </w:r>
          </w:p>
          <w:p w14:paraId="568E459A">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17、整体储热铝水槽，能大幅降低温度波动；</w:t>
            </w:r>
          </w:p>
          <w:p w14:paraId="303D7031">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18、前面板具有温度校正功能；</w:t>
            </w:r>
          </w:p>
          <w:p w14:paraId="01A22EEC">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★19、具有数据储存功能；</w:t>
            </w:r>
          </w:p>
          <w:p w14:paraId="28B8D79A">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20、具有正门独立锁定装置；</w:t>
            </w:r>
          </w:p>
          <w:p w14:paraId="49ED9BA6">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21、具有RS-232接口；</w:t>
            </w:r>
          </w:p>
          <w:p w14:paraId="6F401074">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22、具有氧气输入接口；</w:t>
            </w:r>
          </w:p>
          <w:p w14:paraId="3AC08BA9">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23、采用低噪音的无刷直流电机，婴儿舱内噪声：≤45dB（A）（稳定温度状态下）；</w:t>
            </w:r>
          </w:p>
          <w:p w14:paraId="6CC05187">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★24、具有上黄疸治疗装置</w:t>
            </w:r>
          </w:p>
          <w:p w14:paraId="5596AAF4">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 xml:space="preserve">25、床面上有效表面内的总辐照度： ≥1.7mW/cm²  (光源为LED)； </w:t>
            </w:r>
          </w:p>
          <w:p w14:paraId="3859C99B">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26、床面上有效表面内的胆红素总辐照度平均值：≥1.3mW/cm²   (光源为LED)；</w:t>
            </w:r>
          </w:p>
          <w:p w14:paraId="0F0778E1">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27、床面上有效表面内的胆红素总辐照度均匀性：＞0.4；</w:t>
            </w:r>
          </w:p>
          <w:p w14:paraId="3F7D3DBB">
            <w:pPr>
              <w:rPr>
                <w:rFonts w:hint="eastAsia"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28、光源工作时间的计时范围：0-9999小时59分。</w:t>
            </w:r>
          </w:p>
        </w:tc>
      </w:tr>
      <w:tr w14:paraId="3C693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474" w:type="dxa"/>
            <w:vAlign w:val="center"/>
          </w:tcPr>
          <w:p w14:paraId="5E1A6CE3">
            <w:pPr>
              <w:adjustRightInd/>
              <w:snapToGrid/>
              <w:spacing w:line="360" w:lineRule="auto"/>
              <w:jc w:val="center"/>
              <w:rPr>
                <w:rFonts w:hint="eastAsia" w:ascii="宋体" w:hAnsi="宋体" w:eastAsia="宋体" w:cs="宋体"/>
                <w:b/>
                <w:color w:val="000000"/>
                <w:sz w:val="21"/>
                <w:szCs w:val="21"/>
                <w:lang w:val="en-US" w:eastAsia="zh-CN"/>
              </w:rPr>
            </w:pPr>
          </w:p>
        </w:tc>
        <w:tc>
          <w:tcPr>
            <w:tcW w:w="1125" w:type="dxa"/>
            <w:vAlign w:val="center"/>
          </w:tcPr>
          <w:p w14:paraId="1A185917">
            <w:pPr>
              <w:adjustRightInd/>
              <w:snapToGrid/>
              <w:spacing w:line="360" w:lineRule="auto"/>
              <w:jc w:val="center"/>
              <w:rPr>
                <w:rStyle w:val="4"/>
                <w:rFonts w:hint="eastAsia" w:ascii="Segoe UI" w:hAnsi="Segoe UI" w:eastAsia="宋体" w:cs="Segoe UI"/>
                <w:b/>
                <w:i w:val="0"/>
                <w:caps w:val="0"/>
                <w:color w:val="000000"/>
                <w:spacing w:val="0"/>
                <w:sz w:val="24"/>
                <w:szCs w:val="24"/>
                <w:shd w:val="clear" w:fill="FFFFFF"/>
                <w:lang w:eastAsia="zh-CN"/>
              </w:rPr>
            </w:pPr>
            <w:r>
              <w:rPr>
                <w:rStyle w:val="4"/>
                <w:rFonts w:hint="eastAsia" w:ascii="Segoe UI" w:hAnsi="Segoe UI" w:eastAsia="宋体" w:cs="Segoe UI"/>
                <w:b/>
                <w:i w:val="0"/>
                <w:caps w:val="0"/>
                <w:color w:val="000000"/>
                <w:spacing w:val="0"/>
                <w:sz w:val="24"/>
                <w:szCs w:val="24"/>
                <w:shd w:val="clear" w:fill="FFFFFF"/>
                <w:lang w:eastAsia="zh-CN"/>
              </w:rPr>
              <w:t>总预算金额</w:t>
            </w:r>
          </w:p>
        </w:tc>
        <w:tc>
          <w:tcPr>
            <w:tcW w:w="390" w:type="dxa"/>
            <w:vAlign w:val="center"/>
          </w:tcPr>
          <w:p w14:paraId="5A146E4A">
            <w:pPr>
              <w:adjustRightInd/>
              <w:snapToGrid/>
              <w:spacing w:line="360" w:lineRule="auto"/>
              <w:jc w:val="center"/>
              <w:rPr>
                <w:rFonts w:hint="eastAsia" w:ascii="宋体" w:hAnsi="宋体" w:eastAsia="宋体" w:cs="宋体"/>
                <w:b/>
                <w:color w:val="000000"/>
                <w:sz w:val="21"/>
                <w:szCs w:val="21"/>
                <w:lang w:val="en-US" w:eastAsia="zh-CN"/>
              </w:rPr>
            </w:pPr>
          </w:p>
        </w:tc>
        <w:tc>
          <w:tcPr>
            <w:tcW w:w="8623" w:type="dxa"/>
          </w:tcPr>
          <w:p w14:paraId="678400EB">
            <w:pPr>
              <w:rPr>
                <w:rFonts w:hint="default" w:ascii="Segoe UI" w:hAnsi="Segoe UI" w:eastAsia="Segoe UI" w:cs="Segoe UI"/>
                <w:i w:val="0"/>
                <w:caps w:val="0"/>
                <w:spacing w:val="0"/>
                <w:sz w:val="24"/>
                <w:szCs w:val="24"/>
                <w:shd w:val="clear" w:fill="FFFFFF"/>
                <w:lang w:val="en-US" w:eastAsia="zh-CN"/>
              </w:rPr>
            </w:pPr>
            <w:r>
              <w:rPr>
                <w:rFonts w:hint="eastAsia" w:ascii="Segoe UI" w:hAnsi="Segoe UI" w:eastAsia="Segoe UI" w:cs="Segoe UI"/>
                <w:i w:val="0"/>
                <w:caps w:val="0"/>
                <w:spacing w:val="0"/>
                <w:sz w:val="24"/>
                <w:szCs w:val="24"/>
                <w:shd w:val="clear" w:fill="FFFFFF"/>
                <w:lang w:val="en-US" w:eastAsia="zh-CN"/>
              </w:rPr>
              <w:t>213000元</w:t>
            </w:r>
          </w:p>
        </w:tc>
      </w:tr>
    </w:tbl>
    <w:p w14:paraId="4D9EF78F">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AB200"/>
    <w:multiLevelType w:val="singleLevel"/>
    <w:tmpl w:val="0D2AB200"/>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6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2025-07-03T08:39:53Z</dcterms:created>
  <dc:creator>Administrator</dc:creator>
  <cp:lastModifiedBy>三少</cp:lastModifiedBy>
  <dcterms:modified xsi:type="dcterms:W3CDTF">2025-07-03T08:40:33Z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eyJoZGlkIjoiY2Q0ODY3NmVjYWNlYTc4MGY3MmQzOThjMWExMDJiNWMiLCJ1c2VySWQiOiIzODM0Njk2NjgifQ==</vt:lpwstr>
  </property>
  <property fmtid="{D5CDD505-2E9C-101B-9397-08002B2CF9AE}" pid="4" name="ICV">
    <vt:lpwstr>AB9CA37E72BB43CBBB62D5C15BFBA500_12</vt:lpwstr>
  </property>
</Properties>
</file>