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E3564">
      <w:pPr>
        <w:spacing w:line="360" w:lineRule="auto"/>
        <w:rPr>
          <w:rFonts w:ascii="仿宋" w:hAnsi="仿宋" w:eastAsia="仿宋" w:cs="宋体"/>
          <w:b/>
          <w:bCs w:val="0"/>
          <w:color w:val="000000"/>
          <w:sz w:val="24"/>
        </w:rPr>
      </w:pPr>
      <w:r>
        <w:rPr>
          <w:rFonts w:hint="eastAsia" w:ascii="仿宋" w:hAnsi="仿宋" w:eastAsia="仿宋" w:cs="宋体"/>
          <w:b/>
          <w:bCs w:val="0"/>
          <w:color w:val="000000"/>
          <w:sz w:val="24"/>
          <w:lang w:val="en-US" w:eastAsia="zh-CN"/>
        </w:rPr>
        <w:t>参数</w:t>
      </w:r>
      <w:r>
        <w:rPr>
          <w:rFonts w:hint="eastAsia" w:ascii="仿宋" w:hAnsi="仿宋" w:eastAsia="仿宋" w:cs="宋体"/>
          <w:b/>
          <w:bCs w:val="0"/>
          <w:color w:val="000000"/>
          <w:sz w:val="24"/>
        </w:rPr>
        <w:t>要求：</w:t>
      </w:r>
    </w:p>
    <w:p w14:paraId="1EB2F800">
      <w:pPr>
        <w:spacing w:line="360" w:lineRule="auto"/>
        <w:rPr>
          <w:rFonts w:ascii="仿宋" w:hAnsi="仿宋" w:eastAsia="仿宋" w:cs="宋体"/>
          <w:bCs/>
          <w:color w:val="000000"/>
          <w:sz w:val="24"/>
        </w:rPr>
      </w:pP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临床用途：</w:t>
      </w:r>
      <w:r>
        <w:rPr>
          <w:rFonts w:hint="eastAsia" w:ascii="仿宋" w:hAnsi="仿宋" w:eastAsia="仿宋" w:cs="宋体"/>
          <w:bCs/>
          <w:color w:val="000000"/>
          <w:sz w:val="24"/>
        </w:rPr>
        <w:t>该产品用于</w:t>
      </w: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妇科子宫肌瘤、粘膜下肌瘤、子宫纵隔、宫腔粘连、息肉等妇科</w:t>
      </w:r>
      <w:r>
        <w:rPr>
          <w:rFonts w:hint="eastAsia" w:ascii="仿宋" w:hAnsi="仿宋" w:eastAsia="仿宋" w:cs="宋体"/>
          <w:bCs/>
          <w:color w:val="000000"/>
          <w:sz w:val="24"/>
        </w:rPr>
        <w:t>疾病。</w:t>
      </w:r>
    </w:p>
    <w:p w14:paraId="1988FC5F">
      <w:pPr>
        <w:spacing w:line="360" w:lineRule="auto"/>
        <w:rPr>
          <w:rFonts w:ascii="仿宋" w:hAnsi="仿宋" w:eastAsia="仿宋" w:cs="宋体"/>
          <w:bCs/>
          <w:color w:val="000000"/>
          <w:sz w:val="24"/>
        </w:rPr>
      </w:pPr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（一）、主机</w:t>
      </w:r>
    </w:p>
    <w:p w14:paraId="374678EB">
      <w:pPr>
        <w:pStyle w:val="4"/>
        <w:numPr>
          <w:ilvl w:val="0"/>
          <w:numId w:val="0"/>
        </w:numPr>
        <w:tabs>
          <w:tab w:val="left" w:pos="5745"/>
        </w:tabs>
        <w:spacing w:line="360" w:lineRule="auto"/>
        <w:ind w:leftChars="0"/>
        <w:rPr>
          <w:rFonts w:ascii="仿宋" w:hAnsi="仿宋" w:eastAsia="仿宋" w:cs="宋体"/>
          <w:bCs/>
          <w:color w:val="000000"/>
          <w:sz w:val="24"/>
        </w:rPr>
      </w:pP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1.</w:t>
      </w:r>
      <w:r>
        <w:rPr>
          <w:rFonts w:hint="eastAsia" w:ascii="仿宋" w:hAnsi="仿宋" w:eastAsia="仿宋" w:cs="宋体"/>
          <w:bCs/>
          <w:color w:val="000000"/>
          <w:sz w:val="24"/>
        </w:rPr>
        <w:t>要求为射频等离子体手术系统，提供国家药监局认定的注册证为依据；</w:t>
      </w:r>
    </w:p>
    <w:p w14:paraId="25998FE3">
      <w:pPr>
        <w:pStyle w:val="4"/>
        <w:numPr>
          <w:ilvl w:val="0"/>
          <w:numId w:val="0"/>
        </w:numPr>
        <w:tabs>
          <w:tab w:val="left" w:pos="5745"/>
        </w:tabs>
        <w:spacing w:line="360" w:lineRule="auto"/>
        <w:ind w:leftChars="0"/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</w:rPr>
        <w:t>▲</w:t>
      </w:r>
      <w:r>
        <w:rPr>
          <w:rFonts w:hint="eastAsia" w:ascii="仿宋" w:hAnsi="仿宋" w:eastAsia="仿宋" w:cs="宋体"/>
          <w:bCs/>
          <w:color w:val="000000"/>
          <w:sz w:val="24"/>
        </w:rPr>
        <w:t>制造商须在中国境内注册并在中国本土生产</w:t>
      </w: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;</w:t>
      </w:r>
    </w:p>
    <w:p w14:paraId="0F31BA01">
      <w:pPr>
        <w:pStyle w:val="4"/>
        <w:numPr>
          <w:ilvl w:val="0"/>
          <w:numId w:val="0"/>
        </w:numPr>
        <w:tabs>
          <w:tab w:val="left" w:pos="5745"/>
        </w:tabs>
        <w:spacing w:line="360" w:lineRule="auto"/>
        <w:ind w:leftChars="0"/>
        <w:rPr>
          <w:rFonts w:hint="eastAsia" w:ascii="仿宋" w:hAnsi="仿宋" w:eastAsia="仿宋" w:cs="宋体"/>
          <w:bCs/>
          <w:color w:val="000000"/>
          <w:sz w:val="24"/>
        </w:rPr>
      </w:pP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3.</w:t>
      </w:r>
      <w:r>
        <w:rPr>
          <w:rFonts w:hint="eastAsia" w:ascii="仿宋" w:hAnsi="仿宋" w:eastAsia="仿宋" w:cs="宋体"/>
          <w:bCs/>
          <w:color w:val="000000"/>
          <w:sz w:val="24"/>
        </w:rPr>
        <w:t>具备两种切割、消融、止血</w:t>
      </w: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模式</w:t>
      </w:r>
      <w:r>
        <w:rPr>
          <w:rFonts w:hint="eastAsia" w:ascii="仿宋" w:hAnsi="仿宋" w:eastAsia="仿宋" w:cs="宋体"/>
          <w:bCs/>
          <w:color w:val="000000"/>
          <w:sz w:val="24"/>
        </w:rPr>
        <w:t>；</w:t>
      </w: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一种</w:t>
      </w:r>
      <w:r>
        <w:rPr>
          <w:rFonts w:hint="eastAsia" w:ascii="仿宋" w:hAnsi="仿宋" w:eastAsia="仿宋" w:cs="宋体"/>
          <w:bCs/>
          <w:color w:val="000000"/>
          <w:sz w:val="24"/>
        </w:rPr>
        <w:t>凝固、止血</w:t>
      </w: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模式</w:t>
      </w:r>
      <w:r>
        <w:rPr>
          <w:rFonts w:hint="eastAsia" w:ascii="仿宋" w:hAnsi="仿宋" w:eastAsia="仿宋" w:cs="宋体"/>
          <w:bCs/>
          <w:color w:val="000000"/>
          <w:sz w:val="24"/>
        </w:rPr>
        <w:t>。各模式功能需在注册证适用范围或产品技术要求中明确体现；</w:t>
      </w:r>
    </w:p>
    <w:p w14:paraId="01B9773B">
      <w:pPr>
        <w:pStyle w:val="4"/>
        <w:numPr>
          <w:ilvl w:val="0"/>
          <w:numId w:val="0"/>
        </w:numPr>
        <w:tabs>
          <w:tab w:val="left" w:pos="5745"/>
        </w:tabs>
        <w:spacing w:line="360" w:lineRule="auto"/>
        <w:ind w:leftChars="0"/>
        <w:rPr>
          <w:rFonts w:hint="eastAsia" w:ascii="仿宋" w:hAnsi="仿宋" w:eastAsia="仿宋" w:cs="宋体"/>
          <w:bCs/>
          <w:color w:val="000000"/>
          <w:sz w:val="24"/>
        </w:rPr>
      </w:pP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4.</w:t>
      </w:r>
      <w:r>
        <w:rPr>
          <w:rFonts w:hint="eastAsia" w:ascii="仿宋" w:hAnsi="仿宋" w:eastAsia="仿宋" w:cs="宋体"/>
          <w:bCs/>
          <w:color w:val="000000"/>
          <w:sz w:val="24"/>
        </w:rPr>
        <w:t xml:space="preserve">治疗刀头应具备消融、切割、止血功能（功能可集成于单一刀头或根据临床需求配置）。主机应具备工作模式识别提示功能，可通过声音、指示灯或屏幕显示等方式明确提示当前工作模式，防止误操作；  </w:t>
      </w:r>
    </w:p>
    <w:p w14:paraId="431FD51F">
      <w:pPr>
        <w:pStyle w:val="4"/>
        <w:numPr>
          <w:ilvl w:val="0"/>
          <w:numId w:val="0"/>
        </w:numPr>
        <w:spacing w:line="360" w:lineRule="auto"/>
        <w:ind w:leftChars="0"/>
        <w:rPr>
          <w:rFonts w:ascii="仿宋" w:hAnsi="仿宋" w:eastAsia="仿宋" w:cs="宋体"/>
          <w:bCs/>
          <w:color w:val="000000"/>
          <w:sz w:val="24"/>
        </w:rPr>
      </w:pP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5.</w:t>
      </w:r>
      <w:r>
        <w:rPr>
          <w:rFonts w:hint="eastAsia" w:ascii="仿宋" w:hAnsi="仿宋" w:eastAsia="仿宋" w:cs="宋体"/>
          <w:bCs/>
          <w:color w:val="000000"/>
          <w:sz w:val="24"/>
        </w:rPr>
        <w:t>治疗主机自动识别手柄、脚踏的连接状态。能在连接好脚踏和手柄后主机根据不同刀头自动设置默认功率大小；</w:t>
      </w:r>
    </w:p>
    <w:p w14:paraId="7DA03C5E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宋体"/>
          <w:bCs/>
          <w:color w:val="000000"/>
          <w:sz w:val="24"/>
        </w:rPr>
      </w:pP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6.</w:t>
      </w:r>
      <w:r>
        <w:rPr>
          <w:rFonts w:hint="eastAsia" w:ascii="仿宋" w:hAnsi="仿宋" w:eastAsia="仿宋" w:cs="宋体"/>
          <w:bCs/>
          <w:color w:val="000000"/>
          <w:sz w:val="24"/>
        </w:rPr>
        <w:t>可通过脚踏开关启动和切换工作模式。脚踏防护等级不低于IPX7，能满足手术环境清洁消毒要求</w:t>
      </w:r>
    </w:p>
    <w:p w14:paraId="2B0386E2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宋体"/>
          <w:bCs/>
          <w:color w:val="000000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7.</w:t>
      </w:r>
      <w:r>
        <w:rPr>
          <w:rFonts w:hint="eastAsia" w:ascii="仿宋" w:hAnsi="仿宋" w:eastAsia="仿宋" w:cs="仿宋"/>
          <w:sz w:val="24"/>
        </w:rPr>
        <w:t>▲</w:t>
      </w:r>
      <w:r>
        <w:rPr>
          <w:rFonts w:hint="eastAsia" w:ascii="仿宋" w:hAnsi="仿宋" w:eastAsia="仿宋" w:cs="宋体"/>
          <w:bCs/>
          <w:sz w:val="24"/>
          <w:lang w:eastAsia="zh-Hans"/>
        </w:rPr>
        <w:t>工作频率</w:t>
      </w:r>
      <w:r>
        <w:rPr>
          <w:rFonts w:hint="eastAsia" w:ascii="仿宋" w:hAnsi="仿宋" w:eastAsia="仿宋" w:cs="宋体"/>
          <w:bCs/>
          <w:color w:val="000000"/>
          <w:sz w:val="24"/>
        </w:rPr>
        <w:t>技术参数：工作</w:t>
      </w:r>
      <w:r>
        <w:rPr>
          <w:rFonts w:hint="eastAsia" w:ascii="仿宋" w:hAnsi="仿宋" w:eastAsia="仿宋" w:cs="宋体"/>
          <w:bCs/>
          <w:color w:val="000000"/>
          <w:sz w:val="24"/>
          <w:lang w:eastAsia="zh-Hans"/>
        </w:rPr>
        <w:t>频率</w:t>
      </w:r>
      <w:r>
        <w:rPr>
          <w:rFonts w:hint="eastAsia" w:ascii="仿宋" w:hAnsi="仿宋" w:eastAsia="仿宋" w:cs="宋体"/>
          <w:bCs/>
          <w:color w:val="000000"/>
          <w:sz w:val="24"/>
        </w:rPr>
        <w:t>100KHz</w:t>
      </w:r>
      <w:r>
        <w:rPr>
          <w:rFonts w:hint="eastAsia" w:ascii="仿宋" w:hAnsi="仿宋" w:eastAsia="仿宋" w:cs="宋体"/>
          <w:bCs/>
          <w:sz w:val="24"/>
        </w:rPr>
        <w:t>±10KHz</w:t>
      </w:r>
      <w:r>
        <w:rPr>
          <w:rFonts w:hint="eastAsia" w:ascii="仿宋" w:hAnsi="仿宋" w:eastAsia="仿宋" w:cs="宋体"/>
          <w:bCs/>
          <w:color w:val="000000"/>
          <w:sz w:val="24"/>
        </w:rPr>
        <w:t>；</w:t>
      </w:r>
    </w:p>
    <w:p w14:paraId="246B329D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宋体"/>
          <w:bCs/>
          <w:color w:val="000000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8.</w:t>
      </w:r>
      <w:r>
        <w:rPr>
          <w:rFonts w:hint="eastAsia" w:ascii="仿宋" w:hAnsi="仿宋" w:eastAsia="仿宋" w:cs="宋体"/>
          <w:bCs/>
          <w:color w:val="000000"/>
          <w:sz w:val="24"/>
        </w:rPr>
        <w:t>输出模式：等离子输出：≥10档可调；</w:t>
      </w:r>
    </w:p>
    <w:p w14:paraId="7BD0D73D">
      <w:pPr>
        <w:pStyle w:val="4"/>
        <w:numPr>
          <w:ilvl w:val="0"/>
          <w:numId w:val="0"/>
        </w:numPr>
        <w:spacing w:line="360" w:lineRule="auto"/>
        <w:ind w:leftChars="0"/>
        <w:rPr>
          <w:rFonts w:hint="default" w:ascii="仿宋" w:hAnsi="仿宋" w:eastAsia="仿宋" w:cs="宋体"/>
          <w:bCs/>
          <w:color w:val="000000"/>
          <w:sz w:val="24"/>
          <w:lang w:val="en-US" w:eastAsia="zh-CN"/>
        </w:rPr>
      </w:pP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9.</w:t>
      </w:r>
      <w:r>
        <w:rPr>
          <w:rFonts w:hint="eastAsia" w:ascii="仿宋" w:hAnsi="仿宋" w:eastAsia="仿宋" w:cs="仿宋"/>
          <w:sz w:val="24"/>
        </w:rPr>
        <w:t>▲</w:t>
      </w: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阻抗显示：200-600Ω±20%，阻抗侦测和自动能量检测技术。实时检测反馈（设备上有对应显示界面）</w:t>
      </w:r>
    </w:p>
    <w:p w14:paraId="621685F7">
      <w:pPr>
        <w:pStyle w:val="4"/>
        <w:tabs>
          <w:tab w:val="left" w:pos="420"/>
        </w:tabs>
        <w:spacing w:line="360" w:lineRule="auto"/>
        <w:ind w:firstLine="0" w:firstLineChars="0"/>
        <w:rPr>
          <w:rFonts w:ascii="仿宋" w:hAnsi="仿宋" w:eastAsia="仿宋" w:cs="宋体"/>
          <w:bCs/>
          <w:color w:val="000000"/>
          <w:sz w:val="24"/>
        </w:rPr>
      </w:pP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10</w:t>
      </w:r>
      <w:r>
        <w:rPr>
          <w:rFonts w:hint="eastAsia" w:ascii="仿宋" w:hAnsi="仿宋" w:eastAsia="仿宋" w:cs="宋体"/>
          <w:bCs/>
          <w:color w:val="000000"/>
          <w:sz w:val="24"/>
          <w:lang w:eastAsia="zh-CN"/>
        </w:rPr>
        <w:t>.</w:t>
      </w:r>
      <w:r>
        <w:rPr>
          <w:rFonts w:hint="eastAsia" w:ascii="仿宋" w:hAnsi="仿宋" w:eastAsia="仿宋" w:cs="宋体"/>
          <w:bCs/>
          <w:color w:val="000000"/>
          <w:sz w:val="24"/>
        </w:rPr>
        <w:t>工作计时：0-99s循环计时（要求在设备上有对应显示界面）；</w:t>
      </w:r>
    </w:p>
    <w:p w14:paraId="4CC0288D">
      <w:pPr>
        <w:pStyle w:val="4"/>
        <w:tabs>
          <w:tab w:val="left" w:pos="420"/>
        </w:tabs>
        <w:spacing w:line="360" w:lineRule="auto"/>
        <w:ind w:firstLine="0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宋体"/>
          <w:bCs/>
          <w:color w:val="000000"/>
          <w:sz w:val="24"/>
        </w:rPr>
        <w:t>1</w:t>
      </w: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1</w:t>
      </w:r>
      <w:r>
        <w:rPr>
          <w:rFonts w:ascii="仿宋" w:hAnsi="仿宋" w:eastAsia="仿宋" w:cs="宋体"/>
          <w:bCs/>
          <w:color w:val="000000"/>
          <w:sz w:val="24"/>
        </w:rPr>
        <w:t>.</w:t>
      </w:r>
      <w:r>
        <w:rPr>
          <w:rFonts w:hint="eastAsia" w:ascii="仿宋" w:hAnsi="仿宋" w:eastAsia="仿宋" w:cs="宋体"/>
          <w:bCs/>
          <w:color w:val="000000"/>
          <w:sz w:val="24"/>
        </w:rPr>
        <w:t>整机输入功率：≤7</w:t>
      </w: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50VA</w:t>
      </w:r>
      <w:r>
        <w:rPr>
          <w:rFonts w:hint="eastAsia" w:ascii="仿宋" w:hAnsi="仿宋" w:eastAsia="仿宋" w:cs="宋体"/>
          <w:bCs/>
          <w:color w:val="000000"/>
          <w:sz w:val="24"/>
        </w:rPr>
        <w:t>、整机输出功率：≤350W；</w:t>
      </w:r>
    </w:p>
    <w:p w14:paraId="49F774CC">
      <w:pPr>
        <w:pStyle w:val="4"/>
        <w:spacing w:line="360" w:lineRule="auto"/>
        <w:ind w:firstLine="0" w:firstLineChars="0"/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</w:pP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12.</w:t>
      </w:r>
      <w:r>
        <w:rPr>
          <w:rFonts w:hint="eastAsia" w:ascii="仿宋" w:hAnsi="仿宋" w:eastAsia="仿宋" w:cs="仿宋"/>
          <w:sz w:val="24"/>
        </w:rPr>
        <w:t>▲</w:t>
      </w: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使用年限：</w:t>
      </w:r>
      <w:r>
        <w:rPr>
          <w:rFonts w:hint="eastAsia" w:ascii="仿宋" w:hAnsi="仿宋" w:eastAsia="仿宋" w:cs="宋体"/>
          <w:bCs/>
          <w:color w:val="000000"/>
          <w:sz w:val="24"/>
        </w:rPr>
        <w:t>≥</w:t>
      </w: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8年；</w:t>
      </w:r>
    </w:p>
    <w:p w14:paraId="6B7B44C4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宋体"/>
          <w:bCs/>
          <w:color w:val="000000"/>
          <w:sz w:val="24"/>
          <w:lang w:val="en-US" w:eastAsia="zh-CN"/>
        </w:rPr>
        <w:t>（二）、</w:t>
      </w:r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宫腔电切镜参数</w:t>
      </w:r>
    </w:p>
    <w:p w14:paraId="231B62C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425" w:leftChars="0" w:hanging="425" w:firstLineChars="0"/>
        <w:textAlignment w:val="auto"/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内窥镜视向角≤15°，视场角≥60°；</w:t>
      </w:r>
    </w:p>
    <w:p w14:paraId="52E3F1F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425" w:leftChars="0" w:hanging="425" w:firstLineChars="0"/>
        <w:textAlignment w:val="auto"/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工作长度≥300mm，插入部外径≤3.5mm，允许配合更小的工作外鞘；</w:t>
      </w:r>
    </w:p>
    <w:p w14:paraId="786B2CA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425" w:leftChars="0" w:hanging="425" w:firstLineChars="0"/>
        <w:textAlignment w:val="auto"/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▲可耐高温高压消毒，镜体密封性好；</w:t>
      </w:r>
    </w:p>
    <w:p w14:paraId="56EFD12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425" w:leftChars="0" w:hanging="425" w:firstLineChars="0"/>
        <w:textAlignment w:val="auto"/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可低温等离子消毒，提供符合《消毒技术规范》的消毒兼容性验证资料（可由消毒设备厂家或第三方检测机构出具）；</w:t>
      </w:r>
    </w:p>
    <w:p w14:paraId="6883058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425" w:leftChars="0" w:hanging="425" w:firstLineChars="0"/>
        <w:textAlignment w:val="auto"/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外鞘工作长度≥180mm，外径≤7.5mm，与内窥镜工作长度匹配；</w:t>
      </w:r>
    </w:p>
    <w:p w14:paraId="217C907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425" w:leftChars="0" w:hanging="425" w:firstLineChars="0"/>
        <w:textAlignment w:val="auto"/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外鞘插入部前方具有绝缘设计，绝缘有效长度≥10mm；</w:t>
      </w:r>
    </w:p>
    <w:p w14:paraId="68B3669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425" w:leftChars="0" w:hanging="425" w:firstLineChars="0"/>
        <w:textAlignment w:val="auto"/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外鞘水阀可360°旋转；</w:t>
      </w:r>
    </w:p>
    <w:p w14:paraId="3D246BF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ind w:left="425" w:leftChars="0" w:hanging="425" w:firstLineChars="0"/>
        <w:textAlignment w:val="auto"/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内鞘工作长度</w:t>
      </w:r>
      <w:bookmarkStart w:id="0" w:name="_GoBack"/>
      <w:bookmarkEnd w:id="0"/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≥200mm, 外径≤6.0mm；</w:t>
      </w:r>
    </w:p>
    <w:p w14:paraId="6E113487">
      <w:r>
        <w:rPr>
          <w:rFonts w:hint="eastAsia" w:ascii="仿宋" w:hAnsi="仿宋" w:eastAsia="仿宋" w:cs="宋体"/>
          <w:bCs/>
          <w:color w:val="000000"/>
          <w:kern w:val="2"/>
          <w:sz w:val="24"/>
          <w:szCs w:val="24"/>
          <w:lang w:val="en-US" w:eastAsia="zh-CN" w:bidi="ar-SA"/>
        </w:rPr>
        <w:t>操作手环采用合金材料或等效高强度材料，耐腐蚀、抗疲劳，符合生物相容性要求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2A908D"/>
    <w:multiLevelType w:val="singleLevel"/>
    <w:tmpl w:val="422A908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38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2026-11-02T07:17:23Z</dcterms:created>
  <dc:creator>Administrator</dc:creator>
  <cp:lastModifiedBy>三少</cp:lastModifiedBy>
  <dcterms:modified xsi:type="dcterms:W3CDTF">2026-11-02T07:18:01Z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eyJoZGlkIjoiM2ExMTY2ZDBlMTI3NjFiYmZmNDBjNWI5OTk3MTViMTIiLCJ1c2VySWQiOiIzODM0Njk2NjgifQ==</vt:lpwstr>
  </property>
  <property fmtid="{D5CDD505-2E9C-101B-9397-08002B2CF9AE}" pid="4" name="ICV">
    <vt:lpwstr>F14669F44ADF4658A33C6F189794B7F1_12</vt:lpwstr>
  </property>
</Properties>
</file>