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924F4">
      <w:pPr>
        <w:pStyle w:val="2"/>
        <w:ind w:left="0" w:firstLine="0"/>
        <w:rPr>
          <w:rFonts w:hint="eastAsia" w:ascii="宋体" w:hAnsi="宋体" w:eastAsia="宋体" w:cs="宋体"/>
          <w:sz w:val="21"/>
          <w:szCs w:val="21"/>
        </w:rPr>
      </w:pPr>
      <w:r>
        <w:rPr>
          <w:rFonts w:hint="eastAsia" w:ascii="宋体" w:hAnsi="宋体" w:eastAsia="宋体" w:cs="宋体"/>
          <w:sz w:val="21"/>
          <w:szCs w:val="21"/>
        </w:rPr>
        <w:t>附表：</w:t>
      </w:r>
    </w:p>
    <w:tbl>
      <w:tblPr>
        <w:tblStyle w:val="3"/>
        <w:tblpPr w:leftFromText="180" w:rightFromText="180" w:vertAnchor="text" w:horzAnchor="page" w:tblpX="1057" w:tblpY="482"/>
        <w:tblOverlap w:val="never"/>
        <w:tblW w:w="5000" w:type="pct"/>
        <w:tblInd w:w="0" w:type="dxa"/>
        <w:tblLayout w:type="autofit"/>
        <w:tblCellMar>
          <w:top w:w="0" w:type="dxa"/>
          <w:left w:w="108" w:type="dxa"/>
          <w:bottom w:w="0" w:type="dxa"/>
          <w:right w:w="108" w:type="dxa"/>
        </w:tblCellMar>
      </w:tblPr>
      <w:tblGrid>
        <w:gridCol w:w="1098"/>
        <w:gridCol w:w="1455"/>
        <w:gridCol w:w="5969"/>
      </w:tblGrid>
      <w:tr w14:paraId="3984C935">
        <w:tblPrEx>
          <w:tblCellMar>
            <w:top w:w="0" w:type="dxa"/>
            <w:left w:w="108" w:type="dxa"/>
            <w:bottom w:w="0" w:type="dxa"/>
            <w:right w:w="108" w:type="dxa"/>
          </w:tblCellMar>
        </w:tblPrEx>
        <w:trPr>
          <w:trHeight w:val="360" w:hRule="atLeast"/>
        </w:trPr>
        <w:tc>
          <w:tcPr>
            <w:tcW w:w="632" w:type="pct"/>
            <w:tcBorders>
              <w:top w:val="single" w:color="auto" w:sz="4" w:space="0"/>
              <w:left w:val="single" w:color="auto" w:sz="4" w:space="0"/>
              <w:bottom w:val="single" w:color="auto" w:sz="4" w:space="0"/>
              <w:right w:val="single" w:color="auto" w:sz="4" w:space="0"/>
            </w:tcBorders>
            <w:noWrap/>
            <w:vAlign w:val="center"/>
          </w:tcPr>
          <w:p w14:paraId="170BD00E">
            <w:pPr>
              <w:widowControl/>
              <w:jc w:val="center"/>
              <w:rPr>
                <w:rFonts w:ascii="等线" w:hAnsi="等线" w:eastAsia="等线" w:cs="宋体"/>
                <w:b/>
                <w:bCs/>
                <w:color w:val="000000"/>
                <w:kern w:val="0"/>
                <w:sz w:val="28"/>
                <w:szCs w:val="28"/>
              </w:rPr>
            </w:pPr>
            <w:r>
              <w:rPr>
                <w:rFonts w:hint="eastAsia" w:ascii="等线" w:hAnsi="等线" w:eastAsia="等线" w:cs="宋体"/>
                <w:b/>
                <w:bCs/>
                <w:color w:val="000000"/>
                <w:kern w:val="0"/>
                <w:sz w:val="28"/>
                <w:szCs w:val="28"/>
              </w:rPr>
              <w:t>服务类型</w:t>
            </w:r>
          </w:p>
        </w:tc>
        <w:tc>
          <w:tcPr>
            <w:tcW w:w="838" w:type="pct"/>
            <w:tcBorders>
              <w:top w:val="single" w:color="auto" w:sz="4" w:space="0"/>
              <w:left w:val="nil"/>
              <w:bottom w:val="single" w:color="auto" w:sz="4" w:space="0"/>
              <w:right w:val="single" w:color="auto" w:sz="4" w:space="0"/>
            </w:tcBorders>
            <w:noWrap/>
            <w:vAlign w:val="center"/>
          </w:tcPr>
          <w:p w14:paraId="56B92241">
            <w:pPr>
              <w:widowControl/>
              <w:jc w:val="center"/>
              <w:rPr>
                <w:rFonts w:hint="eastAsia" w:ascii="等线" w:hAnsi="等线" w:eastAsia="等线" w:cs="宋体"/>
                <w:b/>
                <w:bCs/>
                <w:color w:val="000000"/>
                <w:kern w:val="0"/>
                <w:sz w:val="28"/>
                <w:szCs w:val="28"/>
              </w:rPr>
            </w:pPr>
            <w:r>
              <w:rPr>
                <w:rFonts w:hint="eastAsia" w:ascii="等线" w:hAnsi="等线" w:eastAsia="等线" w:cs="宋体"/>
                <w:b/>
                <w:bCs/>
                <w:color w:val="000000"/>
                <w:kern w:val="0"/>
                <w:sz w:val="28"/>
                <w:szCs w:val="28"/>
              </w:rPr>
              <w:t>服务功能</w:t>
            </w:r>
          </w:p>
        </w:tc>
        <w:tc>
          <w:tcPr>
            <w:tcW w:w="3528" w:type="pct"/>
            <w:tcBorders>
              <w:top w:val="single" w:color="auto" w:sz="4" w:space="0"/>
              <w:left w:val="nil"/>
              <w:bottom w:val="single" w:color="auto" w:sz="4" w:space="0"/>
              <w:right w:val="single" w:color="auto" w:sz="4" w:space="0"/>
            </w:tcBorders>
            <w:noWrap/>
            <w:vAlign w:val="center"/>
          </w:tcPr>
          <w:p w14:paraId="36B5F892">
            <w:pPr>
              <w:widowControl/>
              <w:jc w:val="center"/>
              <w:rPr>
                <w:rFonts w:hint="eastAsia" w:ascii="等线" w:hAnsi="等线" w:eastAsia="等线" w:cs="宋体"/>
                <w:b/>
                <w:bCs/>
                <w:color w:val="000000"/>
                <w:kern w:val="0"/>
                <w:sz w:val="28"/>
                <w:szCs w:val="28"/>
              </w:rPr>
            </w:pPr>
            <w:r>
              <w:rPr>
                <w:rFonts w:hint="eastAsia" w:ascii="等线" w:hAnsi="等线" w:eastAsia="等线" w:cs="宋体"/>
                <w:b/>
                <w:bCs/>
                <w:color w:val="000000"/>
                <w:kern w:val="0"/>
                <w:sz w:val="28"/>
                <w:szCs w:val="28"/>
              </w:rPr>
              <w:t>功能说明</w:t>
            </w:r>
          </w:p>
        </w:tc>
      </w:tr>
      <w:tr w14:paraId="77A8832B">
        <w:tblPrEx>
          <w:tblCellMar>
            <w:top w:w="0" w:type="dxa"/>
            <w:left w:w="108" w:type="dxa"/>
            <w:bottom w:w="0" w:type="dxa"/>
            <w:right w:w="108" w:type="dxa"/>
          </w:tblCellMar>
        </w:tblPrEx>
        <w:trPr>
          <w:trHeight w:val="285" w:hRule="atLeast"/>
        </w:trPr>
        <w:tc>
          <w:tcPr>
            <w:tcW w:w="632" w:type="pct"/>
            <w:vMerge w:val="restart"/>
            <w:tcBorders>
              <w:top w:val="nil"/>
              <w:left w:val="single" w:color="auto" w:sz="4" w:space="0"/>
              <w:right w:val="single" w:color="auto" w:sz="4" w:space="0"/>
            </w:tcBorders>
            <w:noWrap/>
            <w:vAlign w:val="center"/>
          </w:tcPr>
          <w:p w14:paraId="5B487B6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身份认证</w:t>
            </w:r>
          </w:p>
        </w:tc>
        <w:tc>
          <w:tcPr>
            <w:tcW w:w="838" w:type="pct"/>
            <w:tcBorders>
              <w:top w:val="nil"/>
              <w:left w:val="nil"/>
              <w:bottom w:val="single" w:color="auto" w:sz="4" w:space="0"/>
              <w:right w:val="single" w:color="auto" w:sz="4" w:space="0"/>
            </w:tcBorders>
            <w:noWrap/>
            <w:vAlign w:val="center"/>
          </w:tcPr>
          <w:p w14:paraId="5F1EA736">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1.医保电子凭证认证</w:t>
            </w:r>
          </w:p>
        </w:tc>
        <w:tc>
          <w:tcPr>
            <w:tcW w:w="3528" w:type="pct"/>
            <w:tcBorders>
              <w:top w:val="nil"/>
              <w:left w:val="nil"/>
              <w:bottom w:val="single" w:color="auto" w:sz="4" w:space="0"/>
              <w:right w:val="single" w:color="auto" w:sz="4" w:space="0"/>
            </w:tcBorders>
            <w:noWrap/>
            <w:vAlign w:val="center"/>
          </w:tcPr>
          <w:p w14:paraId="655F1EEF">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支持通过扫描医保电子凭证完成身份认证并获取患者的实名身份信息。</w:t>
            </w:r>
          </w:p>
        </w:tc>
      </w:tr>
      <w:tr w14:paraId="3FE56E06">
        <w:tblPrEx>
          <w:tblCellMar>
            <w:top w:w="0" w:type="dxa"/>
            <w:left w:w="108" w:type="dxa"/>
            <w:bottom w:w="0" w:type="dxa"/>
            <w:right w:w="108" w:type="dxa"/>
          </w:tblCellMar>
        </w:tblPrEx>
        <w:trPr>
          <w:trHeight w:val="285" w:hRule="atLeast"/>
        </w:trPr>
        <w:tc>
          <w:tcPr>
            <w:tcW w:w="632" w:type="pct"/>
            <w:vMerge w:val="continue"/>
            <w:tcBorders>
              <w:left w:val="single" w:color="auto" w:sz="4" w:space="0"/>
              <w:right w:val="single" w:color="auto" w:sz="4" w:space="0"/>
            </w:tcBorders>
            <w:noWrap w:val="0"/>
            <w:vAlign w:val="center"/>
          </w:tcPr>
          <w:p w14:paraId="6217FE90">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175E24AC">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2.刷脸认证</w:t>
            </w:r>
          </w:p>
        </w:tc>
        <w:tc>
          <w:tcPr>
            <w:tcW w:w="3528" w:type="pct"/>
            <w:tcBorders>
              <w:top w:val="nil"/>
              <w:left w:val="nil"/>
              <w:bottom w:val="single" w:color="auto" w:sz="4" w:space="0"/>
              <w:right w:val="single" w:color="auto" w:sz="4" w:space="0"/>
            </w:tcBorders>
            <w:noWrap/>
            <w:vAlign w:val="center"/>
          </w:tcPr>
          <w:p w14:paraId="3FBBA017">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支持通过刷脸终端认证完成身份认证并获取患者的实名身份信息。</w:t>
            </w:r>
          </w:p>
        </w:tc>
      </w:tr>
      <w:tr w14:paraId="532001BA">
        <w:tblPrEx>
          <w:tblCellMar>
            <w:top w:w="0" w:type="dxa"/>
            <w:left w:w="108" w:type="dxa"/>
            <w:bottom w:w="0" w:type="dxa"/>
            <w:right w:w="108" w:type="dxa"/>
          </w:tblCellMar>
        </w:tblPrEx>
        <w:trPr>
          <w:trHeight w:val="285" w:hRule="atLeast"/>
        </w:trPr>
        <w:tc>
          <w:tcPr>
            <w:tcW w:w="632" w:type="pct"/>
            <w:vMerge w:val="continue"/>
            <w:tcBorders>
              <w:left w:val="single" w:color="auto" w:sz="4" w:space="0"/>
              <w:bottom w:val="single" w:color="auto" w:sz="4" w:space="0"/>
              <w:right w:val="single" w:color="auto" w:sz="4" w:space="0"/>
            </w:tcBorders>
            <w:noWrap w:val="0"/>
            <w:vAlign w:val="center"/>
          </w:tcPr>
          <w:p w14:paraId="66FD4505">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0803DB14">
            <w:pPr>
              <w:widowControl/>
              <w:rPr>
                <w:rFonts w:hint="default" w:ascii="等线" w:hAnsi="等线" w:eastAsia="等线" w:cs="宋体"/>
                <w:color w:val="000000"/>
                <w:kern w:val="0"/>
                <w:szCs w:val="21"/>
                <w:lang w:val="en-US" w:eastAsia="zh-CN"/>
              </w:rPr>
            </w:pPr>
            <w:r>
              <w:rPr>
                <w:rFonts w:hint="eastAsia" w:ascii="等线" w:hAnsi="等线" w:eastAsia="等线" w:cs="宋体"/>
                <w:color w:val="000000"/>
                <w:kern w:val="0"/>
                <w:szCs w:val="21"/>
                <w:lang w:val="en-US" w:eastAsia="zh-CN"/>
              </w:rPr>
              <w:t>3.亲情账户</w:t>
            </w:r>
          </w:p>
        </w:tc>
        <w:tc>
          <w:tcPr>
            <w:tcW w:w="3528" w:type="pct"/>
            <w:tcBorders>
              <w:top w:val="nil"/>
              <w:left w:val="nil"/>
              <w:bottom w:val="single" w:color="auto" w:sz="4" w:space="0"/>
              <w:right w:val="single" w:color="auto" w:sz="4" w:space="0"/>
            </w:tcBorders>
            <w:noWrap/>
            <w:vAlign w:val="center"/>
          </w:tcPr>
          <w:p w14:paraId="5CE68988">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家属代替患者刷脸完成医保结算（非家庭共济）</w:t>
            </w:r>
          </w:p>
        </w:tc>
      </w:tr>
      <w:tr w14:paraId="5C6B6846">
        <w:tblPrEx>
          <w:tblCellMar>
            <w:top w:w="0" w:type="dxa"/>
            <w:left w:w="108" w:type="dxa"/>
            <w:bottom w:w="0" w:type="dxa"/>
            <w:right w:w="108" w:type="dxa"/>
          </w:tblCellMar>
        </w:tblPrEx>
        <w:trPr>
          <w:trHeight w:val="285" w:hRule="atLeast"/>
        </w:trPr>
        <w:tc>
          <w:tcPr>
            <w:tcW w:w="632" w:type="pct"/>
            <w:vMerge w:val="restart"/>
            <w:tcBorders>
              <w:top w:val="nil"/>
              <w:left w:val="single" w:color="auto" w:sz="4" w:space="0"/>
              <w:bottom w:val="single" w:color="auto" w:sz="4" w:space="0"/>
              <w:right w:val="single" w:color="auto" w:sz="4" w:space="0"/>
            </w:tcBorders>
            <w:noWrap/>
            <w:vAlign w:val="center"/>
          </w:tcPr>
          <w:p w14:paraId="537A078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住院服务</w:t>
            </w:r>
          </w:p>
        </w:tc>
        <w:tc>
          <w:tcPr>
            <w:tcW w:w="838" w:type="pct"/>
            <w:tcBorders>
              <w:top w:val="nil"/>
              <w:left w:val="nil"/>
              <w:bottom w:val="single" w:color="auto" w:sz="4" w:space="0"/>
              <w:right w:val="single" w:color="auto" w:sz="4" w:space="0"/>
            </w:tcBorders>
            <w:noWrap/>
            <w:vAlign w:val="center"/>
          </w:tcPr>
          <w:p w14:paraId="3095116A">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1.住院记录查询</w:t>
            </w:r>
          </w:p>
        </w:tc>
        <w:tc>
          <w:tcPr>
            <w:tcW w:w="3528" w:type="pct"/>
            <w:tcBorders>
              <w:top w:val="nil"/>
              <w:left w:val="nil"/>
              <w:bottom w:val="single" w:color="auto" w:sz="4" w:space="0"/>
              <w:right w:val="single" w:color="auto" w:sz="4" w:space="0"/>
            </w:tcBorders>
            <w:noWrap/>
            <w:vAlign w:val="center"/>
          </w:tcPr>
          <w:p w14:paraId="3BD7B99D">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通过终端查询当前在院信息</w:t>
            </w:r>
          </w:p>
        </w:tc>
      </w:tr>
      <w:tr w14:paraId="07AAB07F">
        <w:tblPrEx>
          <w:tblCellMar>
            <w:top w:w="0" w:type="dxa"/>
            <w:left w:w="108" w:type="dxa"/>
            <w:bottom w:w="0" w:type="dxa"/>
            <w:right w:w="108" w:type="dxa"/>
          </w:tblCellMar>
        </w:tblPrEx>
        <w:trPr>
          <w:trHeight w:val="285" w:hRule="atLeast"/>
        </w:trPr>
        <w:tc>
          <w:tcPr>
            <w:tcW w:w="632" w:type="pct"/>
            <w:vMerge w:val="continue"/>
            <w:tcBorders>
              <w:top w:val="nil"/>
              <w:left w:val="single" w:color="auto" w:sz="4" w:space="0"/>
              <w:bottom w:val="single" w:color="auto" w:sz="4" w:space="0"/>
              <w:right w:val="single" w:color="auto" w:sz="4" w:space="0"/>
            </w:tcBorders>
            <w:noWrap w:val="0"/>
            <w:vAlign w:val="center"/>
          </w:tcPr>
          <w:p w14:paraId="7A658189">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3A1F1F9F">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2.住院预缴金充值</w:t>
            </w:r>
          </w:p>
        </w:tc>
        <w:tc>
          <w:tcPr>
            <w:tcW w:w="3528" w:type="pct"/>
            <w:tcBorders>
              <w:top w:val="nil"/>
              <w:left w:val="nil"/>
              <w:bottom w:val="single" w:color="auto" w:sz="4" w:space="0"/>
              <w:right w:val="single" w:color="auto" w:sz="4" w:space="0"/>
            </w:tcBorders>
            <w:noWrap/>
            <w:vAlign w:val="center"/>
          </w:tcPr>
          <w:p w14:paraId="09BEFE52">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通过终端查住院预缴金，按需完成充值</w:t>
            </w:r>
          </w:p>
        </w:tc>
      </w:tr>
      <w:tr w14:paraId="2CCF968A">
        <w:tblPrEx>
          <w:tblCellMar>
            <w:top w:w="0" w:type="dxa"/>
            <w:left w:w="108" w:type="dxa"/>
            <w:bottom w:w="0" w:type="dxa"/>
            <w:right w:w="108" w:type="dxa"/>
          </w:tblCellMar>
        </w:tblPrEx>
        <w:trPr>
          <w:trHeight w:val="285" w:hRule="atLeast"/>
        </w:trPr>
        <w:tc>
          <w:tcPr>
            <w:tcW w:w="632" w:type="pct"/>
            <w:vMerge w:val="continue"/>
            <w:tcBorders>
              <w:top w:val="nil"/>
              <w:left w:val="single" w:color="auto" w:sz="4" w:space="0"/>
              <w:bottom w:val="single" w:color="auto" w:sz="4" w:space="0"/>
              <w:right w:val="single" w:color="auto" w:sz="4" w:space="0"/>
            </w:tcBorders>
            <w:noWrap w:val="0"/>
            <w:vAlign w:val="center"/>
          </w:tcPr>
          <w:p w14:paraId="40B1FB73">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73A61581">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 xml:space="preserve">3.医保出院结算 </w:t>
            </w:r>
          </w:p>
        </w:tc>
        <w:tc>
          <w:tcPr>
            <w:tcW w:w="3528" w:type="pct"/>
            <w:tcBorders>
              <w:top w:val="nil"/>
              <w:left w:val="nil"/>
              <w:bottom w:val="single" w:color="auto" w:sz="4" w:space="0"/>
              <w:right w:val="single" w:color="auto" w:sz="4" w:space="0"/>
            </w:tcBorders>
            <w:noWrap/>
            <w:vAlign w:val="center"/>
          </w:tcPr>
          <w:p w14:paraId="06AF958B">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通过终端认证后，住院状态审核完成可选医保结算，无需窗口排队</w:t>
            </w:r>
          </w:p>
        </w:tc>
      </w:tr>
      <w:tr w14:paraId="2D796F57">
        <w:tblPrEx>
          <w:tblCellMar>
            <w:top w:w="0" w:type="dxa"/>
            <w:left w:w="108" w:type="dxa"/>
            <w:bottom w:w="0" w:type="dxa"/>
            <w:right w:w="108" w:type="dxa"/>
          </w:tblCellMar>
        </w:tblPrEx>
        <w:trPr>
          <w:trHeight w:val="285" w:hRule="atLeast"/>
        </w:trPr>
        <w:tc>
          <w:tcPr>
            <w:tcW w:w="632" w:type="pct"/>
            <w:vMerge w:val="continue"/>
            <w:tcBorders>
              <w:top w:val="nil"/>
              <w:left w:val="single" w:color="auto" w:sz="4" w:space="0"/>
              <w:bottom w:val="single" w:color="auto" w:sz="4" w:space="0"/>
              <w:right w:val="single" w:color="auto" w:sz="4" w:space="0"/>
            </w:tcBorders>
            <w:noWrap w:val="0"/>
            <w:vAlign w:val="center"/>
          </w:tcPr>
          <w:p w14:paraId="5429C5DF">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6863F7F5">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 xml:space="preserve">4.自费出院结算 </w:t>
            </w:r>
          </w:p>
        </w:tc>
        <w:tc>
          <w:tcPr>
            <w:tcW w:w="3528" w:type="pct"/>
            <w:tcBorders>
              <w:top w:val="nil"/>
              <w:left w:val="nil"/>
              <w:bottom w:val="single" w:color="auto" w:sz="4" w:space="0"/>
              <w:right w:val="single" w:color="auto" w:sz="4" w:space="0"/>
            </w:tcBorders>
            <w:noWrap/>
            <w:vAlign w:val="center"/>
          </w:tcPr>
          <w:p w14:paraId="4FEF3D40">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通过终端认证后，住院状态审核完成可选自费结算，无需窗口排队</w:t>
            </w:r>
          </w:p>
        </w:tc>
      </w:tr>
      <w:tr w14:paraId="7E4D0121">
        <w:tblPrEx>
          <w:tblCellMar>
            <w:top w:w="0" w:type="dxa"/>
            <w:left w:w="108" w:type="dxa"/>
            <w:bottom w:w="0" w:type="dxa"/>
            <w:right w:w="108" w:type="dxa"/>
          </w:tblCellMar>
        </w:tblPrEx>
        <w:trPr>
          <w:trHeight w:val="285" w:hRule="atLeast"/>
        </w:trPr>
        <w:tc>
          <w:tcPr>
            <w:tcW w:w="632" w:type="pct"/>
            <w:vMerge w:val="continue"/>
            <w:tcBorders>
              <w:top w:val="nil"/>
              <w:left w:val="single" w:color="auto" w:sz="4" w:space="0"/>
              <w:bottom w:val="single" w:color="auto" w:sz="4" w:space="0"/>
              <w:right w:val="single" w:color="auto" w:sz="4" w:space="0"/>
            </w:tcBorders>
            <w:noWrap w:val="0"/>
            <w:vAlign w:val="center"/>
          </w:tcPr>
          <w:p w14:paraId="491F84A5">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1D0E9C7B">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 xml:space="preserve">5.出院结算退款登记 </w:t>
            </w:r>
          </w:p>
        </w:tc>
        <w:tc>
          <w:tcPr>
            <w:tcW w:w="3528" w:type="pct"/>
            <w:tcBorders>
              <w:top w:val="nil"/>
              <w:left w:val="nil"/>
              <w:bottom w:val="single" w:color="auto" w:sz="4" w:space="0"/>
              <w:right w:val="single" w:color="auto" w:sz="4" w:space="0"/>
            </w:tcBorders>
            <w:noWrap/>
            <w:vAlign w:val="center"/>
          </w:tcPr>
          <w:p w14:paraId="317FB6D1">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医保结算成功后，登记用户银行卡号、姓名、开户行，确保退款到账</w:t>
            </w:r>
          </w:p>
        </w:tc>
      </w:tr>
      <w:tr w14:paraId="6B94E1A0">
        <w:tblPrEx>
          <w:tblCellMar>
            <w:top w:w="0" w:type="dxa"/>
            <w:left w:w="108" w:type="dxa"/>
            <w:bottom w:w="0" w:type="dxa"/>
            <w:right w:w="108" w:type="dxa"/>
          </w:tblCellMar>
        </w:tblPrEx>
        <w:trPr>
          <w:trHeight w:val="285" w:hRule="atLeast"/>
        </w:trPr>
        <w:tc>
          <w:tcPr>
            <w:tcW w:w="632" w:type="pct"/>
            <w:vMerge w:val="continue"/>
            <w:tcBorders>
              <w:top w:val="nil"/>
              <w:left w:val="single" w:color="auto" w:sz="4" w:space="0"/>
              <w:bottom w:val="single" w:color="auto" w:sz="4" w:space="0"/>
              <w:right w:val="single" w:color="auto" w:sz="4" w:space="0"/>
            </w:tcBorders>
            <w:noWrap w:val="0"/>
            <w:vAlign w:val="center"/>
          </w:tcPr>
          <w:p w14:paraId="58162027">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6AF609BB">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 xml:space="preserve">6.入院登记 </w:t>
            </w:r>
          </w:p>
        </w:tc>
        <w:tc>
          <w:tcPr>
            <w:tcW w:w="3528" w:type="pct"/>
            <w:tcBorders>
              <w:top w:val="nil"/>
              <w:left w:val="nil"/>
              <w:bottom w:val="single" w:color="auto" w:sz="4" w:space="0"/>
              <w:right w:val="single" w:color="auto" w:sz="4" w:space="0"/>
            </w:tcBorders>
            <w:noWrap/>
            <w:vAlign w:val="center"/>
          </w:tcPr>
          <w:p w14:paraId="47B4C58D">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自助查入院证、填信息（含紧急联系人）、登医保、缴押金，完成入院</w:t>
            </w:r>
          </w:p>
        </w:tc>
      </w:tr>
      <w:tr w14:paraId="413781F2">
        <w:tblPrEx>
          <w:tblCellMar>
            <w:top w:w="0" w:type="dxa"/>
            <w:left w:w="108" w:type="dxa"/>
            <w:bottom w:w="0" w:type="dxa"/>
            <w:right w:w="108" w:type="dxa"/>
          </w:tblCellMar>
        </w:tblPrEx>
        <w:trPr>
          <w:trHeight w:val="285" w:hRule="atLeast"/>
        </w:trPr>
        <w:tc>
          <w:tcPr>
            <w:tcW w:w="632" w:type="pct"/>
            <w:vMerge w:val="continue"/>
            <w:tcBorders>
              <w:top w:val="nil"/>
              <w:left w:val="single" w:color="auto" w:sz="4" w:space="0"/>
              <w:bottom w:val="single" w:color="auto" w:sz="4" w:space="0"/>
              <w:right w:val="single" w:color="auto" w:sz="4" w:space="0"/>
            </w:tcBorders>
            <w:noWrap w:val="0"/>
            <w:vAlign w:val="center"/>
          </w:tcPr>
          <w:p w14:paraId="6424CC9D">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75DC1351">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 xml:space="preserve">7.医保登记 </w:t>
            </w:r>
          </w:p>
        </w:tc>
        <w:tc>
          <w:tcPr>
            <w:tcW w:w="3528" w:type="pct"/>
            <w:tcBorders>
              <w:top w:val="nil"/>
              <w:left w:val="nil"/>
              <w:bottom w:val="single" w:color="auto" w:sz="4" w:space="0"/>
              <w:right w:val="single" w:color="auto" w:sz="4" w:space="0"/>
            </w:tcBorders>
            <w:noWrap/>
            <w:vAlign w:val="center"/>
          </w:tcPr>
          <w:p w14:paraId="68975892">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自费入院患者，后续可补登医保信息，切换为医保结算身份</w:t>
            </w:r>
          </w:p>
        </w:tc>
      </w:tr>
      <w:tr w14:paraId="18681F3F">
        <w:tblPrEx>
          <w:tblCellMar>
            <w:top w:w="0" w:type="dxa"/>
            <w:left w:w="108" w:type="dxa"/>
            <w:bottom w:w="0" w:type="dxa"/>
            <w:right w:w="108" w:type="dxa"/>
          </w:tblCellMar>
        </w:tblPrEx>
        <w:trPr>
          <w:trHeight w:val="285" w:hRule="atLeast"/>
        </w:trPr>
        <w:tc>
          <w:tcPr>
            <w:tcW w:w="632" w:type="pct"/>
            <w:vMerge w:val="continue"/>
            <w:tcBorders>
              <w:top w:val="nil"/>
              <w:left w:val="single" w:color="auto" w:sz="4" w:space="0"/>
              <w:bottom w:val="single" w:color="auto" w:sz="4" w:space="0"/>
              <w:right w:val="single" w:color="auto" w:sz="4" w:space="0"/>
            </w:tcBorders>
            <w:noWrap w:val="0"/>
            <w:vAlign w:val="center"/>
          </w:tcPr>
          <w:p w14:paraId="0F6D08B1">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4BBDEEC2">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 xml:space="preserve">8.病人列表 </w:t>
            </w:r>
          </w:p>
        </w:tc>
        <w:tc>
          <w:tcPr>
            <w:tcW w:w="3528" w:type="pct"/>
            <w:tcBorders>
              <w:top w:val="nil"/>
              <w:left w:val="nil"/>
              <w:bottom w:val="single" w:color="auto" w:sz="4" w:space="0"/>
              <w:right w:val="single" w:color="auto" w:sz="4" w:space="0"/>
            </w:tcBorders>
            <w:noWrap/>
            <w:vAlign w:val="center"/>
          </w:tcPr>
          <w:p w14:paraId="5DB85739">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工作人员通过终端查符合出院条件的患者名单，快速定位待结算对</w:t>
            </w:r>
          </w:p>
        </w:tc>
      </w:tr>
      <w:tr w14:paraId="0AF10DD5">
        <w:tblPrEx>
          <w:tblCellMar>
            <w:top w:w="0" w:type="dxa"/>
            <w:left w:w="108" w:type="dxa"/>
            <w:bottom w:w="0" w:type="dxa"/>
            <w:right w:w="108" w:type="dxa"/>
          </w:tblCellMar>
        </w:tblPrEx>
        <w:trPr>
          <w:trHeight w:val="465" w:hRule="atLeast"/>
        </w:trPr>
        <w:tc>
          <w:tcPr>
            <w:tcW w:w="632" w:type="pct"/>
            <w:vMerge w:val="restart"/>
            <w:tcBorders>
              <w:top w:val="nil"/>
              <w:left w:val="single" w:color="auto" w:sz="4" w:space="0"/>
              <w:bottom w:val="single" w:color="auto" w:sz="4" w:space="0"/>
              <w:right w:val="single" w:color="auto" w:sz="4" w:space="0"/>
            </w:tcBorders>
            <w:noWrap/>
            <w:vAlign w:val="center"/>
          </w:tcPr>
          <w:p w14:paraId="38E2905C">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就诊服务</w:t>
            </w:r>
          </w:p>
        </w:tc>
        <w:tc>
          <w:tcPr>
            <w:tcW w:w="838" w:type="pct"/>
            <w:tcBorders>
              <w:top w:val="nil"/>
              <w:left w:val="nil"/>
              <w:bottom w:val="single" w:color="auto" w:sz="4" w:space="0"/>
              <w:right w:val="single" w:color="auto" w:sz="4" w:space="0"/>
            </w:tcBorders>
            <w:noWrap/>
            <w:vAlign w:val="center"/>
          </w:tcPr>
          <w:p w14:paraId="3A656CDC">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1.门诊缴费（血透）</w:t>
            </w:r>
          </w:p>
        </w:tc>
        <w:tc>
          <w:tcPr>
            <w:tcW w:w="3528" w:type="pct"/>
            <w:tcBorders>
              <w:top w:val="nil"/>
              <w:left w:val="nil"/>
              <w:bottom w:val="single" w:color="auto" w:sz="4" w:space="0"/>
              <w:right w:val="single" w:color="auto" w:sz="4" w:space="0"/>
            </w:tcBorders>
            <w:noWrap/>
            <w:vAlign w:val="center"/>
          </w:tcPr>
          <w:p w14:paraId="36BFBDB9">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通过身份核验获取身份信息，查询待结算单据，使用医保、自费方式结算，并打印二维码小票</w:t>
            </w:r>
          </w:p>
        </w:tc>
      </w:tr>
      <w:tr w14:paraId="2AA2ED7D">
        <w:tblPrEx>
          <w:tblCellMar>
            <w:top w:w="0" w:type="dxa"/>
            <w:left w:w="108" w:type="dxa"/>
            <w:bottom w:w="0" w:type="dxa"/>
            <w:right w:w="108" w:type="dxa"/>
          </w:tblCellMar>
        </w:tblPrEx>
        <w:trPr>
          <w:trHeight w:val="600" w:hRule="atLeast"/>
        </w:trPr>
        <w:tc>
          <w:tcPr>
            <w:tcW w:w="632" w:type="pct"/>
            <w:vMerge w:val="continue"/>
            <w:tcBorders>
              <w:top w:val="nil"/>
              <w:left w:val="single" w:color="auto" w:sz="4" w:space="0"/>
              <w:bottom w:val="single" w:color="auto" w:sz="4" w:space="0"/>
              <w:right w:val="single" w:color="auto" w:sz="4" w:space="0"/>
            </w:tcBorders>
            <w:noWrap w:val="0"/>
            <w:vAlign w:val="center"/>
          </w:tcPr>
          <w:p w14:paraId="1374A95A">
            <w:pPr>
              <w:widowControl/>
              <w:jc w:val="left"/>
              <w:rPr>
                <w:rFonts w:ascii="等线" w:hAnsi="等线" w:eastAsia="等线" w:cs="宋体"/>
                <w:color w:val="000000"/>
                <w:kern w:val="0"/>
                <w:szCs w:val="21"/>
              </w:rPr>
            </w:pPr>
          </w:p>
        </w:tc>
        <w:tc>
          <w:tcPr>
            <w:tcW w:w="838" w:type="pct"/>
            <w:tcBorders>
              <w:top w:val="nil"/>
              <w:left w:val="nil"/>
              <w:bottom w:val="single" w:color="auto" w:sz="4" w:space="0"/>
              <w:right w:val="single" w:color="auto" w:sz="4" w:space="0"/>
            </w:tcBorders>
            <w:noWrap/>
            <w:vAlign w:val="center"/>
          </w:tcPr>
          <w:p w14:paraId="4846C921">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2.票据打印</w:t>
            </w:r>
          </w:p>
        </w:tc>
        <w:tc>
          <w:tcPr>
            <w:tcW w:w="3528" w:type="pct"/>
            <w:tcBorders>
              <w:top w:val="nil"/>
              <w:left w:val="nil"/>
              <w:bottom w:val="single" w:color="auto" w:sz="4" w:space="0"/>
              <w:right w:val="single" w:color="auto" w:sz="4" w:space="0"/>
            </w:tcBorders>
            <w:noWrap/>
            <w:vAlign w:val="center"/>
          </w:tcPr>
          <w:p w14:paraId="080A02B6">
            <w:pPr>
              <w:widowControl/>
              <w:rPr>
                <w:rFonts w:hint="eastAsia" w:ascii="等线" w:hAnsi="等线" w:eastAsia="等线" w:cs="宋体"/>
                <w:color w:val="000000"/>
                <w:kern w:val="0"/>
                <w:szCs w:val="21"/>
              </w:rPr>
            </w:pPr>
            <w:r>
              <w:rPr>
                <w:rFonts w:hint="eastAsia" w:ascii="等线" w:hAnsi="等线" w:eastAsia="等线" w:cs="宋体"/>
                <w:color w:val="000000"/>
                <w:kern w:val="0"/>
                <w:szCs w:val="21"/>
              </w:rPr>
              <w:t>通过身份核验获取身份信息，查询并打印二维码小票　</w:t>
            </w:r>
          </w:p>
        </w:tc>
      </w:tr>
      <w:tr w14:paraId="1FD94C36">
        <w:tblPrEx>
          <w:tblCellMar>
            <w:top w:w="0" w:type="dxa"/>
            <w:left w:w="108" w:type="dxa"/>
            <w:bottom w:w="0" w:type="dxa"/>
            <w:right w:w="108" w:type="dxa"/>
          </w:tblCellMar>
        </w:tblPrEx>
        <w:trPr>
          <w:trHeight w:val="285" w:hRule="atLeast"/>
        </w:trPr>
        <w:tc>
          <w:tcPr>
            <w:tcW w:w="632" w:type="pct"/>
            <w:tcBorders>
              <w:top w:val="nil"/>
              <w:left w:val="single" w:color="auto" w:sz="4" w:space="0"/>
              <w:bottom w:val="single" w:color="auto" w:sz="4" w:space="0"/>
              <w:right w:val="single" w:color="auto" w:sz="4" w:space="0"/>
            </w:tcBorders>
            <w:noWrap/>
            <w:vAlign w:val="bottom"/>
          </w:tcPr>
          <w:p w14:paraId="436628C0">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接口调试服务</w:t>
            </w:r>
          </w:p>
        </w:tc>
        <w:tc>
          <w:tcPr>
            <w:tcW w:w="838" w:type="pct"/>
            <w:tcBorders>
              <w:top w:val="nil"/>
              <w:left w:val="nil"/>
              <w:bottom w:val="single" w:color="auto" w:sz="4" w:space="0"/>
              <w:right w:val="single" w:color="auto" w:sz="4" w:space="0"/>
            </w:tcBorders>
            <w:noWrap/>
            <w:vAlign w:val="center"/>
          </w:tcPr>
          <w:p w14:paraId="314DA08C">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接口调试</w:t>
            </w:r>
          </w:p>
        </w:tc>
        <w:tc>
          <w:tcPr>
            <w:tcW w:w="3528" w:type="pct"/>
            <w:tcBorders>
              <w:top w:val="nil"/>
              <w:left w:val="nil"/>
              <w:bottom w:val="single" w:color="auto" w:sz="4" w:space="0"/>
              <w:right w:val="single" w:color="auto" w:sz="4" w:space="0"/>
            </w:tcBorders>
            <w:noWrap w:val="0"/>
            <w:vAlign w:val="center"/>
          </w:tcPr>
          <w:p w14:paraId="38294624">
            <w:pPr>
              <w:widowControl/>
              <w:jc w:val="left"/>
              <w:rPr>
                <w:rFonts w:hint="eastAsia" w:ascii="等线" w:hAnsi="等线" w:eastAsia="等线" w:cs="宋体"/>
                <w:color w:val="000000"/>
                <w:kern w:val="0"/>
                <w:szCs w:val="21"/>
              </w:rPr>
            </w:pPr>
            <w:r>
              <w:rPr>
                <w:rFonts w:hint="eastAsia" w:ascii="等线" w:hAnsi="等线" w:eastAsia="等线" w:cs="宋体"/>
                <w:color w:val="000000"/>
                <w:kern w:val="0"/>
                <w:szCs w:val="21"/>
              </w:rPr>
              <w:t>院方须提供满足本次系统对接所需接口，在此基础上，实现与院方指定系统服务商进行对接接口调试服务</w:t>
            </w:r>
          </w:p>
        </w:tc>
      </w:tr>
    </w:tbl>
    <w:p w14:paraId="65442D1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857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2026-08-03T09:35:55Z</dcterms:created>
  <dc:creator>Administrator</dc:creator>
  <cp:lastModifiedBy>默默</cp:lastModifiedBy>
  <dcterms:modified xsi:type="dcterms:W3CDTF">2026-08-03T09:36:01Z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eyJoZGlkIjoiZmEwNTc2YjllNTVlZmRlMDIxNWNmNmE2OWFiYTQ1NDciLCJ1c2VySWQiOiI3NzU1Njk3NjMifQ==</vt:lpwstr>
  </property>
  <property fmtid="{D5CDD505-2E9C-101B-9397-08002B2CF9AE}" pid="4" name="ICV">
    <vt:lpwstr>EF952B44C8984A639D7E3E2800E1AF46_12</vt:lpwstr>
  </property>
</Properties>
</file>